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/>
          <w:b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</w:rPr>
        <w:t>电子舌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采购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/>
          <w:b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</w:rPr>
        <w:t>电子舌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</w:rPr>
        <w:t>电子舌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北京怀柔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ind w:firstLine="560" w:firstLineChars="200"/>
        <w:rPr>
          <w:rFonts w:hint="default" w:asciiTheme="minorEastAsia" w:hAnsiTheme="minorEastAsia" w:eastAsiaTheme="minorEastAsia"/>
          <w:b w:val="0"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请见附件《电子舌参数及技术要求》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500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 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附件（3）基本存款账户信息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/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6"/>
        <w:numPr>
          <w:ilvl w:val="2"/>
          <w:numId w:val="5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25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6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25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13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 3 月  3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5 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  北京红星股份有限公司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  华夏银行北京国贸支行</w:t>
      </w:r>
    </w:p>
    <w:p>
      <w:pPr>
        <w:pStyle w:val="16"/>
        <w:spacing w:line="360" w:lineRule="auto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 10263000000671743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2021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25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26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3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6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3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8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保证金到账后发送招标文件;</w:t>
      </w:r>
    </w:p>
    <w:p>
      <w:pPr>
        <w:pStyle w:val="16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6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邮寄地址：（北京红星股份有限公司）北京市怀柔区怀柔镇红星路1号办公楼301室</w:t>
      </w:r>
    </w:p>
    <w:p>
      <w:pPr>
        <w:pStyle w:val="16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王珊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="宋体" w:hAnsi="宋体" w:eastAsia="宋体" w:cs="宋体"/>
          <w:sz w:val="28"/>
          <w:szCs w:val="28"/>
          <w:u w:val="single"/>
        </w:rPr>
        <w:t>18813007606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  <w:bookmarkStart w:id="0" w:name="_GoBack"/>
      <w:bookmarkEnd w:id="0"/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北京红星股份有限公司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2021年2月10日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AB85CE"/>
    <w:multiLevelType w:val="singleLevel"/>
    <w:tmpl w:val="42AB85C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177E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B4CD7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3A29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C5A1CC3"/>
    <w:rsid w:val="11D13845"/>
    <w:rsid w:val="1C7F652D"/>
    <w:rsid w:val="1E5E5E27"/>
    <w:rsid w:val="1E8D11EB"/>
    <w:rsid w:val="2236384B"/>
    <w:rsid w:val="37074CE5"/>
    <w:rsid w:val="3814414B"/>
    <w:rsid w:val="3AA17591"/>
    <w:rsid w:val="42813C25"/>
    <w:rsid w:val="43891359"/>
    <w:rsid w:val="48517548"/>
    <w:rsid w:val="51464CCF"/>
    <w:rsid w:val="5694614E"/>
    <w:rsid w:val="65EA03F8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20">
    <w:name w:val="正文1"/>
    <w:basedOn w:val="1"/>
    <w:qFormat/>
    <w:uiPriority w:val="0"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14187-E75F-47A6-A710-D068491B2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743</Words>
  <Characters>4236</Characters>
  <Lines>35</Lines>
  <Paragraphs>9</Paragraphs>
  <TotalTime>4</TotalTime>
  <ScaleCrop>false</ScaleCrop>
  <LinksUpToDate>false</LinksUpToDate>
  <CharactersWithSpaces>4970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随意~</cp:lastModifiedBy>
  <dcterms:modified xsi:type="dcterms:W3CDTF">2021-02-10T00:38:12Z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