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firstLineChars="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分光光度计技术要求</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推荐品牌：岛津/哈希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ascii="宋体" w:hAnsi="宋体" w:eastAsia="宋体" w:cs="宋体"/>
                <w:sz w:val="22"/>
              </w:rPr>
            </w:pPr>
            <w:r>
              <w:rPr>
                <w:rFonts w:hint="eastAsia" w:ascii="宋体" w:hAnsi="宋体" w:eastAsia="宋体" w:cs="宋体"/>
                <w:bCs/>
                <w:color w:val="000000"/>
                <w:sz w:val="22"/>
              </w:rPr>
              <w:t>光学系统</w:t>
            </w:r>
          </w:p>
        </w:tc>
        <w:tc>
          <w:tcPr>
            <w:tcW w:w="2834" w:type="pct"/>
            <w:vAlign w:val="center"/>
          </w:tcPr>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1.1.1分光器:</w:t>
            </w:r>
          </w:p>
          <w:p>
            <w:pPr>
              <w:spacing w:line="360" w:lineRule="auto"/>
              <w:ind w:left="735" w:leftChars="350"/>
              <w:jc w:val="left"/>
              <w:rPr>
                <w:rFonts w:ascii="宋体" w:hAnsi="宋体" w:eastAsia="宋体" w:cs="宋体"/>
                <w:bCs/>
                <w:color w:val="000000"/>
                <w:sz w:val="22"/>
              </w:rPr>
            </w:pPr>
            <w:r>
              <w:rPr>
                <w:rFonts w:hint="eastAsia" w:ascii="宋体" w:hAnsi="宋体" w:eastAsia="宋体" w:cs="宋体"/>
                <w:bCs/>
                <w:color w:val="000000"/>
                <w:sz w:val="22"/>
              </w:rPr>
              <w:t>单色器:使用高性能闪耀全息光栅，象差校正型切尼尔一特纳装置。</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1.1.2光源：卤素灯（2000小时寿命）和氘灯，内置光源位置自动调整机构</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1.1.3检测器：硅光电二极管系统</w:t>
            </w:r>
          </w:p>
          <w:p>
            <w:pPr>
              <w:spacing w:line="360" w:lineRule="auto"/>
              <w:jc w:val="left"/>
              <w:rPr>
                <w:rFonts w:ascii="宋体" w:hAnsi="宋体" w:eastAsia="宋体" w:cs="宋体"/>
                <w:sz w:val="22"/>
              </w:rPr>
            </w:pPr>
            <w:r>
              <w:rPr>
                <w:rFonts w:hint="eastAsia" w:ascii="宋体" w:hAnsi="宋体" w:eastAsia="宋体" w:cs="宋体"/>
                <w:sz w:val="22"/>
              </w:rPr>
              <w:t>★</w:t>
            </w:r>
            <w:r>
              <w:rPr>
                <w:rFonts w:hint="eastAsia" w:ascii="宋体" w:hAnsi="宋体" w:eastAsia="宋体" w:cs="宋体"/>
                <w:bCs/>
                <w:color w:val="000000"/>
                <w:sz w:val="22"/>
              </w:rPr>
              <w:t>1.1.3测光方式：比例双光束测光方式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6"/>
              <w:spacing w:line="360" w:lineRule="auto"/>
              <w:ind w:firstLine="0" w:firstLineChars="0"/>
              <w:jc w:val="left"/>
              <w:rPr>
                <w:rFonts w:ascii="宋体" w:hAnsi="宋体" w:eastAsia="宋体" w:cs="宋体"/>
                <w:sz w:val="22"/>
              </w:rPr>
            </w:pPr>
            <w:r>
              <w:rPr>
                <w:rFonts w:hint="eastAsia" w:ascii="宋体" w:hAnsi="宋体" w:eastAsia="宋体" w:cs="宋体"/>
                <w:bCs/>
                <w:color w:val="000000"/>
                <w:sz w:val="22"/>
              </w:rPr>
              <w:t>仪器性能</w:t>
            </w:r>
          </w:p>
        </w:tc>
        <w:tc>
          <w:tcPr>
            <w:tcW w:w="2834" w:type="pct"/>
            <w:vAlign w:val="center"/>
          </w:tcPr>
          <w:p>
            <w:pPr>
              <w:spacing w:line="360" w:lineRule="auto"/>
              <w:jc w:val="left"/>
              <w:rPr>
                <w:rFonts w:ascii="宋体" w:hAnsi="宋体" w:eastAsia="宋体" w:cs="宋体"/>
                <w:bCs/>
                <w:color w:val="000000"/>
                <w:sz w:val="22"/>
              </w:rPr>
            </w:pPr>
            <w:r>
              <w:rPr>
                <w:rFonts w:hint="eastAsia" w:ascii="宋体" w:hAnsi="宋体" w:eastAsia="宋体" w:cs="宋体"/>
                <w:sz w:val="22"/>
              </w:rPr>
              <w:t>★</w:t>
            </w:r>
            <w:r>
              <w:rPr>
                <w:rFonts w:hint="eastAsia" w:ascii="宋体" w:hAnsi="宋体" w:eastAsia="宋体" w:cs="宋体"/>
                <w:b/>
                <w:bCs/>
                <w:color w:val="000000"/>
                <w:sz w:val="22"/>
                <w:lang w:val="fr-FR"/>
              </w:rPr>
              <w:t xml:space="preserve">1.2.1 </w:t>
            </w:r>
            <w:r>
              <w:rPr>
                <w:rFonts w:hint="eastAsia" w:ascii="宋体" w:hAnsi="宋体" w:eastAsia="宋体" w:cs="宋体"/>
                <w:bCs/>
                <w:color w:val="000000"/>
                <w:sz w:val="22"/>
              </w:rPr>
              <w:t>波长测试范围：190~1100nm</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1.2.2波长准确性：±0.1nm D2 656.1nm，±0.3nm全区域"</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1.2.3波长重复精度：±0.1nm</w:t>
            </w:r>
          </w:p>
          <w:p>
            <w:pPr>
              <w:spacing w:line="360" w:lineRule="auto"/>
              <w:ind w:left="550" w:hanging="550" w:hangingChars="250"/>
              <w:jc w:val="left"/>
              <w:rPr>
                <w:rFonts w:ascii="宋体" w:hAnsi="宋体" w:eastAsia="宋体" w:cs="宋体"/>
                <w:bCs/>
                <w:color w:val="000000"/>
                <w:sz w:val="22"/>
              </w:rPr>
            </w:pPr>
            <w:r>
              <w:rPr>
                <w:rFonts w:hint="eastAsia" w:ascii="宋体" w:hAnsi="宋体" w:eastAsia="宋体" w:cs="宋体"/>
                <w:bCs/>
                <w:color w:val="000000"/>
                <w:sz w:val="22"/>
              </w:rPr>
              <w:t>1.2.4波长扫描速度：最快波长扫描速度1400nm/min，最快波长移动速度3000nm/min</w:t>
            </w:r>
          </w:p>
          <w:p>
            <w:pPr>
              <w:spacing w:line="360" w:lineRule="auto"/>
              <w:jc w:val="left"/>
              <w:rPr>
                <w:rFonts w:ascii="宋体" w:hAnsi="宋体" w:eastAsia="宋体" w:cs="宋体"/>
                <w:bCs/>
                <w:color w:val="000000"/>
                <w:sz w:val="22"/>
              </w:rPr>
            </w:pPr>
            <w:r>
              <w:rPr>
                <w:rFonts w:hint="eastAsia" w:ascii="宋体" w:hAnsi="宋体" w:eastAsia="宋体" w:cs="宋体"/>
                <w:sz w:val="22"/>
              </w:rPr>
              <w:t>★</w:t>
            </w:r>
            <w:r>
              <w:rPr>
                <w:rFonts w:hint="eastAsia" w:ascii="宋体" w:hAnsi="宋体" w:eastAsia="宋体" w:cs="宋体"/>
                <w:bCs/>
                <w:color w:val="000000"/>
                <w:sz w:val="22"/>
              </w:rPr>
              <w:t>1.2.5波长设定： 0.1nm（波长扫描区设定时为1nm单位）</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1.2.6光源切换波长：可在295-364nm范围内任意设定切换波长（0.1nm单位）</w:t>
            </w:r>
          </w:p>
          <w:p>
            <w:pPr>
              <w:spacing w:line="360" w:lineRule="auto"/>
              <w:jc w:val="left"/>
              <w:rPr>
                <w:rFonts w:ascii="宋体" w:hAnsi="宋体" w:eastAsia="宋体" w:cs="宋体"/>
                <w:bCs/>
                <w:color w:val="000000"/>
                <w:sz w:val="22"/>
              </w:rPr>
            </w:pPr>
            <w:r>
              <w:rPr>
                <w:rFonts w:hint="eastAsia" w:ascii="宋体" w:hAnsi="宋体" w:eastAsia="宋体" w:cs="宋体"/>
                <w:sz w:val="22"/>
              </w:rPr>
              <w:t>★</w:t>
            </w:r>
            <w:r>
              <w:rPr>
                <w:rFonts w:hint="eastAsia" w:ascii="宋体" w:hAnsi="宋体" w:eastAsia="宋体" w:cs="宋体"/>
                <w:bCs/>
                <w:color w:val="000000"/>
                <w:sz w:val="22"/>
              </w:rPr>
              <w:t>1.2.7谱带宽度： 5nm</w:t>
            </w:r>
          </w:p>
          <w:p>
            <w:pPr>
              <w:spacing w:line="360" w:lineRule="auto"/>
              <w:jc w:val="left"/>
              <w:rPr>
                <w:rFonts w:ascii="宋体" w:hAnsi="宋体" w:eastAsia="宋体" w:cs="宋体"/>
                <w:bCs/>
                <w:color w:val="000000"/>
                <w:sz w:val="22"/>
              </w:rPr>
            </w:pPr>
            <w:r>
              <w:rPr>
                <w:rFonts w:hint="eastAsia" w:ascii="宋体" w:hAnsi="宋体" w:eastAsia="宋体" w:cs="宋体"/>
                <w:sz w:val="22"/>
              </w:rPr>
              <w:t>★</w:t>
            </w:r>
            <w:r>
              <w:rPr>
                <w:rFonts w:hint="eastAsia" w:ascii="宋体" w:hAnsi="宋体" w:eastAsia="宋体" w:cs="宋体"/>
                <w:bCs/>
                <w:color w:val="000000"/>
                <w:sz w:val="22"/>
              </w:rPr>
              <w:t>1.2.8最高分辨率5nm</w:t>
            </w:r>
          </w:p>
          <w:p>
            <w:pPr>
              <w:spacing w:line="360" w:lineRule="auto"/>
              <w:ind w:left="990" w:hanging="990" w:hangingChars="450"/>
              <w:jc w:val="left"/>
              <w:rPr>
                <w:rFonts w:ascii="宋体" w:hAnsi="宋体" w:eastAsia="宋体" w:cs="宋体"/>
                <w:bCs/>
                <w:color w:val="000000"/>
                <w:sz w:val="22"/>
              </w:rPr>
            </w:pPr>
            <w:r>
              <w:rPr>
                <w:rFonts w:hint="eastAsia" w:ascii="宋体" w:hAnsi="宋体" w:eastAsia="宋体" w:cs="宋体"/>
                <w:sz w:val="22"/>
              </w:rPr>
              <w:t>★</w:t>
            </w:r>
            <w:r>
              <w:rPr>
                <w:rFonts w:hint="eastAsia" w:ascii="宋体" w:hAnsi="宋体" w:eastAsia="宋体" w:cs="宋体"/>
                <w:bCs/>
                <w:color w:val="000000"/>
                <w:sz w:val="22"/>
              </w:rPr>
              <w:t>1.2.9:杂散光：0.05% 以下   (220nm,Nal 10g/L 溶液与340nm, NaNO2 溶液）</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1.2.10测光范围：吸光度：-0.3~3Abs，透射率0.0 ~200%</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 xml:space="preserve">1.2.11测光准确度：±0.002Abs(0.5Abs),±0.004Abs(1.0Abs) </w:t>
            </w:r>
          </w:p>
          <w:p>
            <w:pPr>
              <w:spacing w:line="360" w:lineRule="auto"/>
              <w:jc w:val="left"/>
              <w:rPr>
                <w:rFonts w:ascii="宋体" w:hAnsi="宋体" w:eastAsia="宋体" w:cs="宋体"/>
                <w:bCs/>
                <w:color w:val="000000"/>
                <w:sz w:val="22"/>
              </w:rPr>
            </w:pPr>
            <w:r>
              <w:rPr>
                <w:rFonts w:hint="eastAsia" w:ascii="宋体" w:hAnsi="宋体" w:eastAsia="宋体" w:cs="宋体"/>
                <w:bCs/>
                <w:color w:val="000000"/>
                <w:sz w:val="22"/>
              </w:rPr>
              <w:t xml:space="preserve">1.2.12重复测光精度：±0.001Abs(0~0.5Abs), ±0.002（0.5~1.0Abs）                                                                                                                                     </w:t>
            </w:r>
            <w:r>
              <w:rPr>
                <w:rFonts w:hint="eastAsia" w:ascii="宋体" w:hAnsi="宋体" w:eastAsia="宋体" w:cs="宋体"/>
                <w:sz w:val="22"/>
              </w:rPr>
              <w:t>★</w:t>
            </w:r>
            <w:r>
              <w:rPr>
                <w:rFonts w:hint="eastAsia" w:ascii="宋体" w:hAnsi="宋体" w:eastAsia="宋体" w:cs="宋体"/>
                <w:bCs/>
                <w:color w:val="000000"/>
                <w:sz w:val="22"/>
              </w:rPr>
              <w:t>1.2.13基线</w:t>
            </w:r>
          </w:p>
          <w:p>
            <w:pPr>
              <w:spacing w:line="360" w:lineRule="auto"/>
              <w:ind w:firstLine="770" w:firstLineChars="350"/>
              <w:jc w:val="left"/>
              <w:rPr>
                <w:rFonts w:ascii="宋体" w:hAnsi="宋体" w:eastAsia="宋体" w:cs="宋体"/>
                <w:bCs/>
                <w:color w:val="000000"/>
                <w:sz w:val="22"/>
              </w:rPr>
            </w:pPr>
            <w:r>
              <w:rPr>
                <w:rFonts w:hint="eastAsia" w:ascii="宋体" w:hAnsi="宋体" w:eastAsia="宋体" w:cs="宋体"/>
                <w:bCs/>
                <w:color w:val="000000"/>
                <w:sz w:val="22"/>
              </w:rPr>
              <w:t>基线稳定性</w:t>
            </w:r>
            <w:r>
              <w:rPr>
                <w:rFonts w:hint="eastAsia" w:ascii="宋体" w:hAnsi="宋体" w:eastAsia="宋体" w:cs="宋体"/>
                <w:bCs/>
                <w:color w:val="000000"/>
                <w:sz w:val="22"/>
              </w:rPr>
              <w:tab/>
            </w:r>
            <w:r>
              <w:rPr>
                <w:rFonts w:hint="eastAsia" w:ascii="宋体" w:hAnsi="宋体" w:eastAsia="宋体" w:cs="宋体"/>
                <w:bCs/>
                <w:color w:val="000000"/>
                <w:sz w:val="22"/>
              </w:rPr>
              <w:t>：±0.001Abs/h(700 nm，预热1小时后)</w:t>
            </w:r>
          </w:p>
          <w:p>
            <w:pPr>
              <w:spacing w:line="360" w:lineRule="auto"/>
              <w:ind w:firstLine="770" w:firstLineChars="350"/>
              <w:jc w:val="left"/>
              <w:rPr>
                <w:rFonts w:ascii="宋体" w:hAnsi="宋体" w:eastAsia="宋体" w:cs="宋体"/>
                <w:bCs/>
                <w:color w:val="000000"/>
                <w:sz w:val="22"/>
              </w:rPr>
            </w:pPr>
            <w:r>
              <w:rPr>
                <w:rFonts w:hint="eastAsia" w:ascii="宋体" w:hAnsi="宋体" w:eastAsia="宋体" w:cs="宋体"/>
                <w:bCs/>
                <w:color w:val="000000"/>
                <w:sz w:val="22"/>
              </w:rPr>
              <w:t>基线平滑度：±0.010Abs/h （预热1小时后）</w:t>
            </w:r>
          </w:p>
          <w:p>
            <w:pPr>
              <w:spacing w:line="360" w:lineRule="auto"/>
              <w:jc w:val="left"/>
              <w:rPr>
                <w:rFonts w:ascii="宋体" w:hAnsi="宋体" w:eastAsia="宋体" w:cs="宋体"/>
                <w:sz w:val="22"/>
              </w:rPr>
            </w:pPr>
            <w:r>
              <w:rPr>
                <w:rFonts w:hint="eastAsia" w:ascii="宋体" w:hAnsi="宋体" w:eastAsia="宋体" w:cs="宋体"/>
                <w:bCs/>
                <w:color w:val="000000"/>
                <w:sz w:val="22"/>
              </w:rPr>
              <w:t>1.2.14噪声：0.0005Abs（700nm）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rFonts w:hint="eastAsia"/>
                <w:sz w:val="24"/>
                <w:szCs w:val="24"/>
              </w:rPr>
            </w:pPr>
            <w:r>
              <w:rPr>
                <w:rFonts w:hint="eastAsia"/>
                <w:sz w:val="24"/>
                <w:szCs w:val="24"/>
                <w:lang w:val="en-US" w:eastAsia="zh-CN"/>
              </w:rPr>
              <w:t>其他要求</w:t>
            </w:r>
          </w:p>
        </w:tc>
        <w:tc>
          <w:tcPr>
            <w:tcW w:w="4013" w:type="pct"/>
            <w:gridSpan w:val="2"/>
            <w:vAlign w:val="center"/>
          </w:tcPr>
          <w:p>
            <w:pPr>
              <w:pStyle w:val="2"/>
              <w:numPr>
                <w:ilvl w:val="0"/>
                <w:numId w:val="0"/>
              </w:numPr>
              <w:spacing w:line="400" w:lineRule="exact"/>
              <w:rPr>
                <w:rFonts w:hint="eastAsia" w:ascii="宋体" w:hAnsi="宋体" w:eastAsia="宋体" w:cs="宋体"/>
                <w:bCs/>
                <w:sz w:val="24"/>
              </w:rPr>
            </w:pPr>
            <w:r>
              <w:rPr>
                <w:rFonts w:hint="eastAsia"/>
                <w:bCs/>
                <w:color w:val="000000" w:themeColor="text1"/>
                <w:sz w:val="24"/>
                <w:lang w:val="en-US" w:eastAsia="zh-CN"/>
                <w14:textFill>
                  <w14:solidFill>
                    <w14:schemeClr w14:val="tx1"/>
                  </w14:solidFill>
                </w14:textFill>
              </w:rPr>
              <w:t>1、</w:t>
            </w:r>
            <w:r>
              <w:rPr>
                <w:rFonts w:hint="eastAsia"/>
                <w:bCs/>
                <w:color w:val="000000" w:themeColor="text1"/>
                <w:sz w:val="24"/>
                <w14:textFill>
                  <w14:solidFill>
                    <w14:schemeClr w14:val="tx1"/>
                  </w14:solidFill>
                </w14:textFill>
              </w:rPr>
              <w:t>签订合同后</w:t>
            </w:r>
            <w:r>
              <w:rPr>
                <w:rFonts w:hint="eastAsia" w:ascii="宋体" w:hAnsi="宋体" w:eastAsia="宋体" w:cs="宋体"/>
                <w:bCs/>
                <w:sz w:val="24"/>
              </w:rPr>
              <w:t>中标人须及时就仪器安装条件（包括环境条件、实验台、电力、气路要求、安装位置、防振等）与用户进行沟通，并安排技术人员前往现场协助确认。</w:t>
            </w:r>
          </w:p>
          <w:p>
            <w:pPr>
              <w:pStyle w:val="2"/>
              <w:numPr>
                <w:ilvl w:val="0"/>
                <w:numId w:val="0"/>
              </w:numPr>
              <w:spacing w:line="400" w:lineRule="exact"/>
              <w:rPr>
                <w:rFonts w:ascii="宋体" w:hAnsi="宋体" w:eastAsia="宋体" w:cs="宋体"/>
                <w:bCs/>
                <w:sz w:val="24"/>
              </w:rPr>
            </w:pPr>
            <w:r>
              <w:rPr>
                <w:rFonts w:hint="eastAsia" w:ascii="宋体" w:hAnsi="宋体" w:eastAsia="宋体" w:cs="宋体"/>
                <w:bCs/>
                <w:sz w:val="24"/>
                <w:lang w:val="en-US" w:eastAsia="zh-CN"/>
              </w:rPr>
              <w:t>2、</w:t>
            </w:r>
            <w:r>
              <w:rPr>
                <w:rFonts w:hint="eastAsia" w:ascii="宋体" w:hAnsi="宋体" w:eastAsia="宋体" w:cs="宋体"/>
                <w:bCs/>
                <w:sz w:val="24"/>
              </w:rPr>
              <w:t>到货后中标人须在一周内安排仪器制造厂技术人员到用户的实验室现场进行仪器安装、调试、验收、现场操作使用培训，并提前与用户沟通。</w:t>
            </w:r>
          </w:p>
          <w:p>
            <w:pPr>
              <w:pStyle w:val="6"/>
              <w:spacing w:line="400" w:lineRule="exact"/>
              <w:ind w:firstLine="0" w:firstLineChars="0"/>
              <w:rPr>
                <w:rFonts w:hint="eastAsia" w:ascii="黑体" w:hAnsi="黑体" w:eastAsia="黑体" w:cs="黑体"/>
                <w:szCs w:val="21"/>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现场培训内容包括仪器的基本原理、操作、日常维护及基础分析仪器理论和上机操作等内容，现场培训直至使用人员能够独立进行软硬件操作、日常维护、方法开发和优化等。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ascii="黑体" w:hAnsi="黑体" w:eastAsia="黑体" w:cs="黑体"/>
                <w:szCs w:val="21"/>
              </w:rPr>
            </w:pPr>
            <w:r>
              <w:rPr>
                <w:rFonts w:hint="eastAsia" w:ascii="黑体" w:hAnsi="黑体" w:eastAsia="黑体" w:cs="黑体"/>
                <w:szCs w:val="21"/>
              </w:rPr>
              <w:t>山西省祁县六曲香</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IGQDU+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B276E"/>
    <w:rsid w:val="124E2538"/>
    <w:rsid w:val="638B2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2021-02-09T02:50:00Z</dcterms:created>
  <dc:creator>随意~</dc:creator>
  <cp:lastModifiedBy>随意~</cp:lastModifiedBy>
  <dcterms:modified xsi:type="dcterms:W3CDTF">2021-02-09T05:40:04Z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