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left="842" w:firstLine="0" w:firstLineChars="0"/>
        <w:jc w:val="center"/>
        <w:rPr>
          <w:b/>
          <w:color w:val="000000" w:themeColor="text1"/>
          <w:sz w:val="24"/>
          <w:szCs w:val="24"/>
          <w14:textFill>
            <w14:solidFill>
              <w14:schemeClr w14:val="tx1"/>
            </w14:solidFill>
          </w14:textFill>
        </w:rPr>
      </w:pPr>
      <w:bookmarkStart w:id="0" w:name="_GoBack"/>
      <w:r>
        <w:rPr>
          <w:rFonts w:hint="eastAsia"/>
          <w:b/>
          <w:color w:val="000000" w:themeColor="text1"/>
          <w:sz w:val="24"/>
          <w:szCs w:val="24"/>
          <w14:textFill>
            <w14:solidFill>
              <w14:schemeClr w14:val="tx1"/>
            </w14:solidFill>
          </w14:textFill>
        </w:rPr>
        <w:t>气相色谱仪及附属设备技术要求</w:t>
      </w:r>
    </w:p>
    <w:bookmarkEnd w:id="0"/>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009"/>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rFonts w:ascii="宋体" w:hAnsi="宋体" w:eastAsia="宋体" w:cs="宋体"/>
                <w:sz w:val="22"/>
              </w:rPr>
            </w:pPr>
            <w:r>
              <w:rPr>
                <w:rFonts w:hint="eastAsia" w:ascii="宋体" w:hAnsi="宋体" w:eastAsia="宋体" w:cs="宋体"/>
                <w:sz w:val="22"/>
                <w:highlight w:val="none"/>
              </w:rPr>
              <w:t>主设备型号</w:t>
            </w:r>
          </w:p>
        </w:tc>
        <w:tc>
          <w:tcPr>
            <w:tcW w:w="4013" w:type="pct"/>
            <w:gridSpan w:val="2"/>
            <w:vAlign w:val="center"/>
          </w:tcPr>
          <w:p>
            <w:pPr>
              <w:spacing w:line="360" w:lineRule="auto"/>
              <w:jc w:val="left"/>
              <w:rPr>
                <w:rFonts w:ascii="宋体" w:hAnsi="宋体" w:eastAsia="宋体" w:cs="宋体"/>
                <w:sz w:val="22"/>
              </w:rPr>
            </w:pPr>
            <w:r>
              <w:rPr>
                <w:rFonts w:hint="eastAsia" w:ascii="宋体" w:hAnsi="宋体" w:eastAsia="宋体" w:cs="宋体"/>
                <w:sz w:val="22"/>
              </w:rPr>
              <w:t>岛津2010Pro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986" w:type="pct"/>
            <w:vMerge w:val="restart"/>
            <w:vAlign w:val="center"/>
          </w:tcPr>
          <w:p>
            <w:pPr>
              <w:spacing w:line="360" w:lineRule="auto"/>
              <w:jc w:val="center"/>
              <w:rPr>
                <w:rFonts w:ascii="宋体" w:hAnsi="宋体" w:eastAsia="宋体" w:cs="宋体"/>
                <w:sz w:val="22"/>
              </w:rPr>
            </w:pPr>
            <w:r>
              <w:rPr>
                <w:rFonts w:hint="eastAsia" w:ascii="宋体" w:hAnsi="宋体" w:eastAsia="宋体" w:cs="宋体"/>
                <w:sz w:val="22"/>
              </w:rPr>
              <w:t>设备主要参数</w:t>
            </w:r>
          </w:p>
        </w:tc>
        <w:tc>
          <w:tcPr>
            <w:tcW w:w="1179" w:type="pct"/>
            <w:vAlign w:val="center"/>
          </w:tcPr>
          <w:p>
            <w:pPr>
              <w:spacing w:line="360" w:lineRule="auto"/>
              <w:jc w:val="left"/>
              <w:rPr>
                <w:rFonts w:ascii="宋体" w:hAnsi="宋体" w:eastAsia="宋体" w:cs="宋体"/>
                <w:sz w:val="22"/>
              </w:rPr>
            </w:pPr>
            <w:r>
              <w:rPr>
                <w:rFonts w:hint="eastAsia" w:ascii="宋体" w:hAnsi="宋体" w:eastAsia="宋体" w:cs="宋体"/>
                <w:sz w:val="22"/>
              </w:rPr>
              <w:t>快速分析</w:t>
            </w:r>
          </w:p>
        </w:tc>
        <w:tc>
          <w:tcPr>
            <w:tcW w:w="2834" w:type="pct"/>
            <w:vAlign w:val="center"/>
          </w:tcPr>
          <w:p>
            <w:pPr>
              <w:spacing w:line="360" w:lineRule="auto"/>
              <w:jc w:val="left"/>
              <w:rPr>
                <w:rFonts w:ascii="宋体" w:hAnsi="宋体" w:eastAsia="宋体" w:cs="宋体"/>
                <w:sz w:val="22"/>
              </w:rPr>
            </w:pPr>
            <w:r>
              <w:rPr>
                <w:rFonts w:hint="eastAsia" w:ascii="宋体" w:hAnsi="宋体" w:eastAsia="宋体" w:cs="宋体"/>
                <w:sz w:val="22"/>
              </w:rPr>
              <w:t>全电子流量压力控制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pStyle w:val="6"/>
              <w:spacing w:line="360" w:lineRule="auto"/>
              <w:ind w:firstLine="0" w:firstLineChars="0"/>
              <w:jc w:val="left"/>
              <w:rPr>
                <w:rFonts w:ascii="宋体" w:hAnsi="宋体" w:eastAsia="宋体" w:cs="宋体"/>
                <w:sz w:val="22"/>
              </w:rPr>
            </w:pPr>
            <w:r>
              <w:rPr>
                <w:rFonts w:hint="eastAsia" w:ascii="宋体" w:hAnsi="宋体" w:eastAsia="宋体" w:cs="宋体"/>
                <w:sz w:val="22"/>
              </w:rPr>
              <w:t>柱温箱</w:t>
            </w:r>
          </w:p>
        </w:tc>
        <w:tc>
          <w:tcPr>
            <w:tcW w:w="2834" w:type="pct"/>
            <w:vAlign w:val="center"/>
          </w:tcPr>
          <w:p>
            <w:pPr>
              <w:spacing w:line="360" w:lineRule="auto"/>
              <w:jc w:val="left"/>
              <w:rPr>
                <w:rFonts w:ascii="宋体" w:hAnsi="宋体" w:eastAsia="宋体" w:cs="宋体"/>
                <w:sz w:val="22"/>
              </w:rPr>
            </w:pPr>
            <w:r>
              <w:rPr>
                <w:rFonts w:hint="eastAsia" w:ascii="宋体" w:hAnsi="宋体" w:eastAsia="宋体" w:cs="宋体"/>
                <w:sz w:val="22"/>
              </w:rPr>
              <w:t>室温以上4℃ ～ 450℃；程序升温：不少于20阶；最大升温速率：250℃/min；温度设定精度：1℃；控温精度：0.01℃；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hint="eastAsia" w:ascii="宋体" w:hAnsi="宋体" w:eastAsia="宋体" w:cs="宋体"/>
                <w:kern w:val="2"/>
                <w:sz w:val="22"/>
                <w:szCs w:val="22"/>
                <w:lang w:val="en-US" w:eastAsia="zh-CN" w:bidi="ar-SA"/>
              </w:rPr>
            </w:pPr>
            <w:r>
              <w:rPr>
                <w:rFonts w:hint="eastAsia" w:ascii="宋体" w:hAnsi="宋体" w:eastAsia="宋体" w:cs="宋体"/>
                <w:sz w:val="22"/>
              </w:rPr>
              <w:t>自动进样器</w:t>
            </w:r>
          </w:p>
        </w:tc>
        <w:tc>
          <w:tcPr>
            <w:tcW w:w="2834" w:type="pct"/>
            <w:vAlign w:val="center"/>
          </w:tcPr>
          <w:p>
            <w:pPr>
              <w:spacing w:line="360" w:lineRule="auto"/>
              <w:jc w:val="left"/>
              <w:rPr>
                <w:rFonts w:ascii="宋体" w:hAnsi="宋体" w:eastAsia="宋体" w:cs="宋体"/>
                <w:sz w:val="22"/>
              </w:rPr>
            </w:pPr>
            <w:r>
              <w:rPr>
                <w:rFonts w:hint="eastAsia" w:ascii="宋体" w:hAnsi="宋体" w:eastAsia="宋体" w:cs="宋体"/>
                <w:sz w:val="22"/>
              </w:rPr>
              <w:t xml:space="preserve">型号：AOC-20i + AOC-20s  </w:t>
            </w:r>
          </w:p>
          <w:p>
            <w:pPr>
              <w:spacing w:line="360" w:lineRule="auto"/>
              <w:jc w:val="left"/>
              <w:rPr>
                <w:rFonts w:hint="eastAsia" w:ascii="宋体" w:hAnsi="宋体" w:eastAsia="宋体" w:cs="宋体"/>
                <w:kern w:val="2"/>
                <w:sz w:val="22"/>
                <w:szCs w:val="22"/>
                <w:lang w:val="en-US" w:eastAsia="zh-CN" w:bidi="ar-SA"/>
              </w:rPr>
            </w:pPr>
            <w:r>
              <w:rPr>
                <w:rFonts w:hint="eastAsia" w:ascii="宋体" w:hAnsi="宋体" w:eastAsia="宋体" w:cs="宋体"/>
                <w:sz w:val="22"/>
              </w:rPr>
              <w:t>要求：至少50位自动进样器，液体直接进样；进样量线性≥99%；进样重现性&lt;1.0%RSD；交叉污染小于十万分之一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ascii="宋体" w:hAnsi="宋体" w:eastAsia="宋体" w:cs="宋体"/>
                <w:sz w:val="22"/>
              </w:rPr>
            </w:pPr>
            <w:r>
              <w:rPr>
                <w:rFonts w:hint="eastAsia" w:ascii="宋体" w:hAnsi="宋体" w:eastAsia="宋体" w:cs="宋体"/>
                <w:sz w:val="22"/>
              </w:rPr>
              <w:t>进样单元</w:t>
            </w:r>
          </w:p>
        </w:tc>
        <w:tc>
          <w:tcPr>
            <w:tcW w:w="2834" w:type="pct"/>
            <w:vAlign w:val="center"/>
          </w:tcPr>
          <w:p>
            <w:pPr>
              <w:spacing w:line="360" w:lineRule="auto"/>
              <w:jc w:val="left"/>
              <w:rPr>
                <w:rFonts w:ascii="宋体" w:hAnsi="宋体" w:eastAsia="宋体" w:cs="宋体"/>
                <w:sz w:val="22"/>
              </w:rPr>
            </w:pPr>
            <w:r>
              <w:rPr>
                <w:rFonts w:hint="eastAsia" w:ascii="宋体" w:hAnsi="宋体" w:eastAsia="宋体" w:cs="宋体"/>
                <w:sz w:val="22"/>
              </w:rPr>
              <w:t>带SPL进样口(AFC流路控制)；具有流量控制、温度补偿、程序升温、分流/不分流进样功能，支持恒流，恒压、恒线速度、程序增加流速，程序升压及压力脉冲等操作模式等，压力范围：最大可达100 psi。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ascii="宋体" w:hAnsi="宋体" w:eastAsia="宋体" w:cs="宋体"/>
                <w:sz w:val="22"/>
              </w:rPr>
            </w:pPr>
            <w:r>
              <w:rPr>
                <w:rFonts w:hint="eastAsia" w:ascii="宋体" w:hAnsi="宋体" w:eastAsia="宋体" w:cs="宋体"/>
                <w:sz w:val="22"/>
              </w:rPr>
              <w:t>检测器</w:t>
            </w:r>
          </w:p>
        </w:tc>
        <w:tc>
          <w:tcPr>
            <w:tcW w:w="2834" w:type="pct"/>
            <w:vAlign w:val="center"/>
          </w:tcPr>
          <w:p>
            <w:pPr>
              <w:spacing w:line="360" w:lineRule="auto"/>
              <w:jc w:val="left"/>
              <w:rPr>
                <w:rFonts w:ascii="宋体" w:hAnsi="宋体" w:eastAsia="宋体" w:cs="宋体"/>
                <w:sz w:val="22"/>
              </w:rPr>
            </w:pPr>
            <w:r>
              <w:rPr>
                <w:rFonts w:hint="eastAsia" w:ascii="宋体" w:hAnsi="宋体" w:eastAsia="宋体" w:cs="宋体"/>
                <w:sz w:val="22"/>
              </w:rPr>
              <w:t>配备FID检测器，APC流路控制。</w:t>
            </w:r>
          </w:p>
          <w:p>
            <w:pPr>
              <w:spacing w:line="360" w:lineRule="auto"/>
              <w:jc w:val="left"/>
              <w:rPr>
                <w:rFonts w:ascii="宋体" w:hAnsi="宋体" w:eastAsia="宋体" w:cs="宋体"/>
                <w:sz w:val="22"/>
              </w:rPr>
            </w:pPr>
            <w:r>
              <w:rPr>
                <w:rFonts w:hint="eastAsia" w:ascii="宋体" w:hAnsi="宋体" w:eastAsia="宋体" w:cs="宋体"/>
                <w:sz w:val="22"/>
              </w:rPr>
              <w:t>1）氢火焰检测器（FID带EPC控制）：最低检测限（对十三烷）：&lt;3 pg C/s。线性动态范围：&gt;107（±10%）；灭火自动检测和自动再点火。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6" w:type="pct"/>
            <w:vMerge w:val="continue"/>
            <w:vAlign w:val="center"/>
          </w:tcPr>
          <w:p>
            <w:pPr>
              <w:spacing w:line="360" w:lineRule="auto"/>
              <w:jc w:val="center"/>
              <w:rPr>
                <w:rFonts w:ascii="宋体" w:hAnsi="宋体" w:eastAsia="宋体" w:cs="宋体"/>
                <w:sz w:val="22"/>
              </w:rPr>
            </w:pPr>
          </w:p>
        </w:tc>
        <w:tc>
          <w:tcPr>
            <w:tcW w:w="1179" w:type="pct"/>
            <w:vAlign w:val="center"/>
          </w:tcPr>
          <w:p>
            <w:pPr>
              <w:spacing w:line="360" w:lineRule="auto"/>
              <w:jc w:val="left"/>
              <w:rPr>
                <w:rFonts w:ascii="宋体" w:hAnsi="宋体" w:eastAsia="宋体" w:cs="宋体"/>
                <w:sz w:val="22"/>
              </w:rPr>
            </w:pPr>
            <w:r>
              <w:rPr>
                <w:rFonts w:hint="eastAsia" w:ascii="宋体" w:hAnsi="宋体" w:eastAsia="宋体" w:cs="宋体"/>
                <w:sz w:val="22"/>
                <w:szCs w:val="21"/>
              </w:rPr>
              <w:t>色谱工作站软件</w:t>
            </w:r>
          </w:p>
        </w:tc>
        <w:tc>
          <w:tcPr>
            <w:tcW w:w="2834" w:type="pct"/>
            <w:vAlign w:val="center"/>
          </w:tcPr>
          <w:p>
            <w:pPr>
              <w:spacing w:line="360" w:lineRule="auto"/>
              <w:jc w:val="left"/>
              <w:rPr>
                <w:rFonts w:ascii="宋体" w:hAnsi="宋体" w:eastAsia="宋体" w:cs="宋体"/>
                <w:sz w:val="22"/>
              </w:rPr>
            </w:pPr>
            <w:r>
              <w:rPr>
                <w:rFonts w:hint="eastAsia" w:ascii="宋体" w:hAnsi="宋体" w:eastAsia="宋体" w:cs="宋体"/>
                <w:sz w:val="22"/>
              </w:rPr>
              <w:t>可控制气相色谱仪所有参数和运行，可实施编辑功能，自动进行序列样品分析；实时在线显示色谱图，积分并报告出分析结果，绘制标准曲线；具有在线帮助的自学操作教程；具有自诊断程序。可进行同台仪器的不同检测器,不同柱长及多台仪器之间数据的比对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highlight w:val="none"/>
              </w:rPr>
              <w:t>附属设备</w:t>
            </w:r>
          </w:p>
        </w:tc>
        <w:tc>
          <w:tcPr>
            <w:tcW w:w="4013" w:type="pct"/>
            <w:gridSpan w:val="2"/>
            <w:vAlign w:val="center"/>
          </w:tcPr>
          <w:p>
            <w:pPr>
              <w:spacing w:line="360" w:lineRule="auto"/>
              <w:jc w:val="left"/>
              <w:rPr>
                <w:rFonts w:hint="eastAsia" w:ascii="宋体" w:hAnsi="宋体" w:eastAsia="宋体" w:cs="宋体"/>
                <w:szCs w:val="21"/>
                <w:lang w:val="en-US" w:eastAsia="zh-CN"/>
              </w:rPr>
            </w:pPr>
            <w:r>
              <w:rPr>
                <w:rFonts w:hint="eastAsia" w:ascii="黑体" w:hAnsi="黑体" w:eastAsia="黑体" w:cs="黑体"/>
                <w:b/>
                <w:bCs/>
                <w:szCs w:val="21"/>
                <w:lang w:val="en-US" w:eastAsia="zh-CN"/>
              </w:rPr>
              <w:t>空气发生器</w:t>
            </w:r>
            <w:r>
              <w:rPr>
                <w:rFonts w:hint="eastAsia" w:ascii="黑体" w:hAnsi="黑体" w:eastAsia="黑体" w:cs="黑体"/>
                <w:szCs w:val="21"/>
                <w:lang w:val="en-US" w:eastAsia="zh-CN"/>
              </w:rPr>
              <w:t>：</w:t>
            </w:r>
            <w:r>
              <w:rPr>
                <w:rFonts w:hint="eastAsia" w:ascii="宋体" w:hAnsi="宋体" w:eastAsia="宋体" w:cs="宋体"/>
                <w:b w:val="0"/>
                <w:bCs w:val="0"/>
                <w:szCs w:val="21"/>
                <w:lang w:val="en-US" w:eastAsia="zh-CN"/>
              </w:rPr>
              <w:t>中惠普SPB-3</w:t>
            </w:r>
            <w:r>
              <w:rPr>
                <w:rFonts w:hint="eastAsia" w:ascii="黑体" w:hAnsi="黑体" w:eastAsia="黑体" w:cs="黑体"/>
                <w:szCs w:val="21"/>
                <w:lang w:val="en-US" w:eastAsia="zh-CN"/>
              </w:rPr>
              <w:t xml:space="preserve">             </w:t>
            </w:r>
            <w:r>
              <w:rPr>
                <w:rFonts w:hint="eastAsia" w:ascii="黑体" w:hAnsi="黑体" w:eastAsia="黑体" w:cs="黑体"/>
                <w:b/>
                <w:bCs/>
                <w:szCs w:val="21"/>
                <w:lang w:val="en-US" w:eastAsia="zh-CN"/>
              </w:rPr>
              <w:t>氢气发生器</w:t>
            </w:r>
            <w:r>
              <w:rPr>
                <w:rFonts w:hint="eastAsia" w:ascii="黑体" w:hAnsi="黑体" w:eastAsia="黑体" w:cs="黑体"/>
                <w:szCs w:val="21"/>
                <w:lang w:val="en-US" w:eastAsia="zh-CN"/>
              </w:rPr>
              <w:t>：</w:t>
            </w:r>
            <w:r>
              <w:rPr>
                <w:rFonts w:hint="eastAsia" w:ascii="宋体" w:hAnsi="宋体" w:eastAsia="宋体" w:cs="宋体"/>
                <w:szCs w:val="21"/>
                <w:lang w:val="en-US" w:eastAsia="zh-CN"/>
              </w:rPr>
              <w:t>中惠普TH-500</w:t>
            </w:r>
          </w:p>
          <w:p>
            <w:pPr>
              <w:spacing w:line="360" w:lineRule="auto"/>
              <w:jc w:val="left"/>
              <w:rPr>
                <w:rFonts w:hint="eastAsia" w:ascii="黑体" w:hAnsi="黑体" w:eastAsia="黑体" w:cs="黑体"/>
                <w:szCs w:val="21"/>
                <w:lang w:val="en-US" w:eastAsia="zh-CN"/>
              </w:rPr>
            </w:pPr>
            <w:r>
              <w:rPr>
                <w:rFonts w:hint="eastAsia" w:ascii="黑体" w:hAnsi="黑体" w:eastAsia="黑体" w:cs="黑体"/>
                <w:b/>
                <w:bCs/>
                <w:szCs w:val="21"/>
                <w:lang w:val="en-US" w:eastAsia="zh-CN"/>
              </w:rPr>
              <w:t>电脑</w:t>
            </w:r>
            <w:r>
              <w:rPr>
                <w:rFonts w:hint="eastAsia" w:ascii="黑体" w:hAnsi="黑体" w:eastAsia="黑体" w:cs="黑体"/>
                <w:szCs w:val="21"/>
                <w:lang w:val="en-US" w:eastAsia="zh-CN"/>
              </w:rPr>
              <w:t>：</w:t>
            </w:r>
            <w:r>
              <w:rPr>
                <w:rFonts w:hint="eastAsia" w:ascii="宋体" w:hAnsi="宋体" w:eastAsia="宋体" w:cs="宋体"/>
                <w:szCs w:val="21"/>
              </w:rPr>
              <w:t>内存容量：16G /处理器：Intel i5/硬盘容量：256GB SSD+1TB HDD，</w:t>
            </w:r>
            <w:r>
              <w:rPr>
                <w:rFonts w:hint="eastAsia" w:ascii="黑体" w:hAnsi="黑体" w:eastAsia="黑体" w:cs="黑体"/>
                <w:szCs w:val="21"/>
              </w:rPr>
              <w:t>需要附带com口</w:t>
            </w:r>
            <w:r>
              <w:rPr>
                <w:rFonts w:hint="eastAsia" w:ascii="黑体" w:hAnsi="黑体" w:eastAsia="黑体" w:cs="黑体"/>
                <w:szCs w:val="21"/>
                <w:lang w:val="en-US" w:eastAsia="zh-CN"/>
              </w:rPr>
              <w:t>(</w:t>
            </w:r>
            <w:r>
              <w:rPr>
                <w:rFonts w:hint="eastAsia" w:ascii="黑体" w:hAnsi="黑体" w:eastAsia="黑体" w:cs="黑体"/>
                <w:szCs w:val="21"/>
              </w:rPr>
              <w:t>戴尔（DELL）7070MT</w:t>
            </w:r>
            <w:r>
              <w:rPr>
                <w:rFonts w:hint="eastAsia" w:ascii="黑体" w:hAnsi="黑体" w:eastAsia="黑体" w:cs="黑体"/>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rFonts w:hint="eastAsia"/>
                <w:sz w:val="24"/>
                <w:szCs w:val="24"/>
              </w:rPr>
            </w:pPr>
            <w:r>
              <w:rPr>
                <w:rFonts w:hint="eastAsia"/>
                <w:sz w:val="24"/>
                <w:szCs w:val="24"/>
                <w:lang w:val="en-US" w:eastAsia="zh-CN"/>
              </w:rPr>
              <w:t>其他要求</w:t>
            </w:r>
          </w:p>
        </w:tc>
        <w:tc>
          <w:tcPr>
            <w:tcW w:w="4013" w:type="pct"/>
            <w:gridSpan w:val="2"/>
            <w:vAlign w:val="center"/>
          </w:tcPr>
          <w:p>
            <w:pPr>
              <w:pStyle w:val="2"/>
              <w:numPr>
                <w:ilvl w:val="0"/>
                <w:numId w:val="0"/>
              </w:numPr>
              <w:spacing w:line="400" w:lineRule="exact"/>
              <w:rPr>
                <w:rFonts w:hint="eastAsia" w:ascii="宋体" w:hAnsi="宋体" w:eastAsia="宋体" w:cs="宋体"/>
                <w:bCs/>
                <w:sz w:val="24"/>
              </w:rPr>
            </w:pPr>
            <w:r>
              <w:rPr>
                <w:rFonts w:hint="eastAsia"/>
                <w:bCs/>
                <w:color w:val="000000" w:themeColor="text1"/>
                <w:sz w:val="24"/>
                <w:lang w:val="en-US" w:eastAsia="zh-CN"/>
                <w14:textFill>
                  <w14:solidFill>
                    <w14:schemeClr w14:val="tx1"/>
                  </w14:solidFill>
                </w14:textFill>
              </w:rPr>
              <w:t>1、</w:t>
            </w:r>
            <w:r>
              <w:rPr>
                <w:rFonts w:hint="eastAsia"/>
                <w:bCs/>
                <w:color w:val="000000" w:themeColor="text1"/>
                <w:sz w:val="24"/>
                <w14:textFill>
                  <w14:solidFill>
                    <w14:schemeClr w14:val="tx1"/>
                  </w14:solidFill>
                </w14:textFill>
              </w:rPr>
              <w:t>签订合同后</w:t>
            </w:r>
            <w:r>
              <w:rPr>
                <w:rFonts w:hint="eastAsia" w:ascii="宋体" w:hAnsi="宋体" w:eastAsia="宋体" w:cs="宋体"/>
                <w:bCs/>
                <w:sz w:val="24"/>
              </w:rPr>
              <w:t>中标人须及时就仪器安装条件（包括环境条件、实验台、电力、气路要求、安装位置、防振等）与用户进行沟通，并安排技术人员前往现场协助确认。</w:t>
            </w:r>
          </w:p>
          <w:p>
            <w:pPr>
              <w:pStyle w:val="2"/>
              <w:numPr>
                <w:ilvl w:val="0"/>
                <w:numId w:val="0"/>
              </w:numPr>
              <w:spacing w:line="400" w:lineRule="exact"/>
              <w:rPr>
                <w:rFonts w:ascii="宋体" w:hAnsi="宋体" w:eastAsia="宋体" w:cs="宋体"/>
                <w:bCs/>
                <w:sz w:val="24"/>
              </w:rPr>
            </w:pPr>
            <w:r>
              <w:rPr>
                <w:rFonts w:hint="eastAsia" w:ascii="宋体" w:hAnsi="宋体" w:eastAsia="宋体" w:cs="宋体"/>
                <w:bCs/>
                <w:sz w:val="24"/>
                <w:lang w:val="en-US" w:eastAsia="zh-CN"/>
              </w:rPr>
              <w:t>2、</w:t>
            </w:r>
            <w:r>
              <w:rPr>
                <w:rFonts w:hint="eastAsia" w:ascii="宋体" w:hAnsi="宋体" w:eastAsia="宋体" w:cs="宋体"/>
                <w:bCs/>
                <w:sz w:val="24"/>
              </w:rPr>
              <w:t>到货前，中标人应为用户2名人员提供培训机会。</w:t>
            </w:r>
          </w:p>
          <w:p>
            <w:pPr>
              <w:pStyle w:val="2"/>
              <w:numPr>
                <w:ilvl w:val="0"/>
                <w:numId w:val="0"/>
              </w:numPr>
              <w:spacing w:line="400" w:lineRule="exact"/>
              <w:rPr>
                <w:rFonts w:ascii="宋体" w:hAnsi="宋体" w:eastAsia="宋体" w:cs="宋体"/>
                <w:bCs/>
                <w:sz w:val="24"/>
              </w:rPr>
            </w:pPr>
            <w:r>
              <w:rPr>
                <w:rFonts w:hint="eastAsia" w:ascii="宋体" w:hAnsi="宋体" w:eastAsia="宋体" w:cs="宋体"/>
                <w:bCs/>
                <w:sz w:val="24"/>
                <w:lang w:val="en-US" w:eastAsia="zh-CN"/>
              </w:rPr>
              <w:t>3、</w:t>
            </w:r>
            <w:r>
              <w:rPr>
                <w:rFonts w:hint="eastAsia" w:ascii="宋体" w:hAnsi="宋体" w:eastAsia="宋体" w:cs="宋体"/>
                <w:bCs/>
                <w:sz w:val="24"/>
              </w:rPr>
              <w:t>到货后中标人须在一周内安排仪器制造厂技术人员到用户的实验室现场进行仪器安装、调试、验收、现场操作使用培训，并提前与用户沟通。</w:t>
            </w:r>
          </w:p>
          <w:p>
            <w:pPr>
              <w:pStyle w:val="6"/>
              <w:spacing w:line="400" w:lineRule="exact"/>
              <w:ind w:firstLine="0" w:firstLineChars="0"/>
              <w:rPr>
                <w:rFonts w:hint="eastAsia" w:ascii="黑体" w:hAnsi="黑体" w:eastAsia="黑体" w:cs="黑体"/>
                <w:szCs w:val="21"/>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现场培训内容包括仪器的基本原理、操作、日常维护及基础分析仪器理论和上机操作等内容，现场培训直至使用人员能够独立进行软硬件操作、日常维护、方法开发和优化等。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vAlign w:val="center"/>
          </w:tcPr>
          <w:p>
            <w:pPr>
              <w:spacing w:line="360" w:lineRule="auto"/>
              <w:jc w:val="center"/>
              <w:rPr>
                <w:sz w:val="24"/>
                <w:szCs w:val="24"/>
              </w:rPr>
            </w:pPr>
            <w:r>
              <w:rPr>
                <w:rFonts w:hint="eastAsia"/>
                <w:sz w:val="24"/>
                <w:szCs w:val="24"/>
              </w:rPr>
              <w:t>设备安装地点</w:t>
            </w:r>
          </w:p>
        </w:tc>
        <w:tc>
          <w:tcPr>
            <w:tcW w:w="4013" w:type="pct"/>
            <w:gridSpan w:val="2"/>
            <w:vAlign w:val="center"/>
          </w:tcPr>
          <w:p>
            <w:pPr>
              <w:spacing w:line="360" w:lineRule="auto"/>
              <w:jc w:val="left"/>
              <w:rPr>
                <w:rFonts w:ascii="黑体" w:hAnsi="黑体" w:eastAsia="黑体" w:cs="黑体"/>
                <w:szCs w:val="21"/>
              </w:rPr>
            </w:pPr>
            <w:r>
              <w:rPr>
                <w:rFonts w:hint="eastAsia" w:ascii="黑体" w:hAnsi="黑体" w:eastAsia="黑体" w:cs="黑体"/>
                <w:szCs w:val="21"/>
              </w:rPr>
              <w:t>山西省祁县六曲香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B276E"/>
    <w:rsid w:val="085A73A5"/>
    <w:rsid w:val="638B276E"/>
    <w:rsid w:val="7C04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table" w:styleId="4">
    <w:name w:val="Table Grid"/>
    <w:basedOn w:val="3"/>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2021-02-09T02:50:00Z</dcterms:created>
  <dc:creator>随意~</dc:creator>
  <cp:lastModifiedBy>随意~</cp:lastModifiedBy>
  <dcterms:modified xsi:type="dcterms:W3CDTF">2021-02-09T05:48:09Z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