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北京红星股份有限公司第一分公司计算机耗材采购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第一分公司计算机耗材采购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计算机耗材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一分公司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 xml:space="preserve"> </w:t>
      </w: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 xml:space="preserve">2020年1月1日至2020年12月31日 </w:t>
      </w:r>
    </w:p>
    <w:p>
      <w:pPr>
        <w:ind w:firstLine="560" w:firstLineChars="200"/>
        <w:rPr>
          <w:rFonts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从中标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承包商</w:t>
      </w:r>
      <w:r>
        <w:rPr>
          <w:rFonts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为我公司提供服务至服务结束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根据2019年一分计算机耗材实际采购量，满足北京红星股份有限公司第一分公司比价要求。此次比价从2019年至今期间实际发生采购项目中选取27项作为报价项目。具体见附件报价单。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 xml:space="preserve">10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 w:val="0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auto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，全部资料复印件应加盖本企业公章（红章）；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以上资质文件电子版均为纸质版扫描件；未加盖公章视为无效；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将比价文件组成所里附件（1）～（6）项所列资质文件电子版发送至我公司指定邮箱。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专用发票</w:t>
      </w:r>
      <w:r>
        <w:rPr>
          <w:rFonts w:hint="eastAsia" w:asciiTheme="minorEastAsia" w:hAnsiTheme="minorEastAsia" w:eastAsiaTheme="minorEastAsia"/>
          <w:sz w:val="28"/>
          <w:szCs w:val="24"/>
        </w:rPr>
        <w:t>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税率：13%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/>
          <w:sz w:val="28"/>
          <w:szCs w:val="24"/>
        </w:rPr>
        <w:t>抬头与注册名称一致，不得中途更改，若有更改公司，我司有权终止合同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13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18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日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firstLine="1960" w:firstLineChars="7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人认为有必要核实、确认的其他事项。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杨乾乾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22-69565471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instrText xml:space="preserve"> HYPERLINK "mailto:yqq@redstarwine.com" </w:instrTex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eastAsiaTheme="minorEastAsia"/>
          <w:sz w:val="28"/>
          <w:szCs w:val="24"/>
          <w:lang w:val="en-US" w:eastAsia="zh-CN"/>
        </w:rPr>
        <w:t>yqq@redstarwine.com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pStyle w:val="15"/>
        <w:ind w:left="1820" w:leftChars="200" w:hanging="1400" w:hangingChars="5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天津市宁河区芦台镇芦汉路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40号红星酒厂院内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</w:t>
      </w:r>
    </w:p>
    <w:p>
      <w:pPr>
        <w:wordWrap w:val="0"/>
        <w:jc w:val="right"/>
        <w:rPr>
          <w:rFonts w:ascii="宋体" w:eastAsia="宋体"/>
          <w:sz w:val="28"/>
          <w:szCs w:val="24"/>
        </w:rPr>
      </w:pPr>
      <w:r>
        <w:rPr>
          <w:rFonts w:hint="eastAsia" w:ascii="宋体" w:eastAsia="宋体"/>
          <w:sz w:val="28"/>
          <w:szCs w:val="24"/>
        </w:rPr>
        <w:t>公告发布单位：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ascii="宋体" w:eastAsia="宋体"/>
          <w:sz w:val="28"/>
          <w:szCs w:val="24"/>
          <w:u w:val="single"/>
        </w:rPr>
        <w:t>北京红星股份有限公司第一分公司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</w:p>
    <w:p>
      <w:pPr>
        <w:wordWrap w:val="0"/>
        <w:ind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ascii="宋体" w:eastAsia="宋体"/>
          <w:sz w:val="28"/>
          <w:szCs w:val="24"/>
        </w:rPr>
        <w:t>公告发布日期</w:t>
      </w:r>
      <w:r>
        <w:rPr>
          <w:rFonts w:hint="eastAsia" w:ascii="宋体" w:eastAsia="宋体"/>
          <w:sz w:val="28"/>
          <w:szCs w:val="24"/>
        </w:rPr>
        <w:t>：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ascii="宋体" w:eastAsia="宋体"/>
          <w:sz w:val="28"/>
          <w:szCs w:val="24"/>
          <w:u w:val="single"/>
        </w:rPr>
        <w:t>20</w:t>
      </w:r>
      <w:r>
        <w:rPr>
          <w:rFonts w:hint="eastAsia" w:ascii="宋体"/>
          <w:sz w:val="28"/>
          <w:szCs w:val="24"/>
          <w:u w:val="single"/>
          <w:lang w:val="en-US" w:eastAsia="zh-CN"/>
        </w:rPr>
        <w:t>20.2.27</w:t>
      </w:r>
      <w:r>
        <w:rPr>
          <w:rFonts w:hint="eastAsia" w:ascii="宋体" w:eastAsia="宋体"/>
          <w:sz w:val="28"/>
          <w:szCs w:val="24"/>
          <w:u w:val="single"/>
        </w:rPr>
        <w:t xml:space="preserve">  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</w:t>
      </w:r>
    </w:p>
    <w:p>
      <w:pPr>
        <w:pStyle w:val="15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21F13AF"/>
    <w:rsid w:val="02613007"/>
    <w:rsid w:val="036D19F5"/>
    <w:rsid w:val="05CC21C5"/>
    <w:rsid w:val="082611B3"/>
    <w:rsid w:val="09487918"/>
    <w:rsid w:val="0ADE18DA"/>
    <w:rsid w:val="10DC2E08"/>
    <w:rsid w:val="11D13845"/>
    <w:rsid w:val="13F2600A"/>
    <w:rsid w:val="156D7BC5"/>
    <w:rsid w:val="167339A0"/>
    <w:rsid w:val="1BD7796B"/>
    <w:rsid w:val="1BF64D3F"/>
    <w:rsid w:val="1C7D1241"/>
    <w:rsid w:val="1C7F652D"/>
    <w:rsid w:val="1DC837EB"/>
    <w:rsid w:val="1E5E5E27"/>
    <w:rsid w:val="1E8D11EB"/>
    <w:rsid w:val="1ECF5293"/>
    <w:rsid w:val="21055DCB"/>
    <w:rsid w:val="21E54D7F"/>
    <w:rsid w:val="2236384B"/>
    <w:rsid w:val="23314678"/>
    <w:rsid w:val="23E41FC2"/>
    <w:rsid w:val="25E91671"/>
    <w:rsid w:val="26E51EB7"/>
    <w:rsid w:val="2A845974"/>
    <w:rsid w:val="2AF65329"/>
    <w:rsid w:val="2BA95D46"/>
    <w:rsid w:val="2E0372FB"/>
    <w:rsid w:val="2E770019"/>
    <w:rsid w:val="31E6439B"/>
    <w:rsid w:val="330534D8"/>
    <w:rsid w:val="346E1424"/>
    <w:rsid w:val="36A57171"/>
    <w:rsid w:val="37074CE5"/>
    <w:rsid w:val="3814414B"/>
    <w:rsid w:val="3AA17591"/>
    <w:rsid w:val="3B25437B"/>
    <w:rsid w:val="4035581D"/>
    <w:rsid w:val="42CF3B05"/>
    <w:rsid w:val="43194D01"/>
    <w:rsid w:val="46D1615F"/>
    <w:rsid w:val="49436604"/>
    <w:rsid w:val="498C685C"/>
    <w:rsid w:val="49E612F2"/>
    <w:rsid w:val="4A0A0D8E"/>
    <w:rsid w:val="4D7503E7"/>
    <w:rsid w:val="50521B08"/>
    <w:rsid w:val="51464CCF"/>
    <w:rsid w:val="528D2B9D"/>
    <w:rsid w:val="56740A80"/>
    <w:rsid w:val="5694614E"/>
    <w:rsid w:val="5C9A7A64"/>
    <w:rsid w:val="5D9E1B11"/>
    <w:rsid w:val="5DA06FB6"/>
    <w:rsid w:val="60192F5F"/>
    <w:rsid w:val="62FF6F55"/>
    <w:rsid w:val="63D1549A"/>
    <w:rsid w:val="67912ACB"/>
    <w:rsid w:val="67F4448F"/>
    <w:rsid w:val="69EC45D1"/>
    <w:rsid w:val="6CB3496E"/>
    <w:rsid w:val="6E214E8D"/>
    <w:rsid w:val="70AB5576"/>
    <w:rsid w:val="716B25F9"/>
    <w:rsid w:val="75915B6A"/>
    <w:rsid w:val="7A217BDB"/>
    <w:rsid w:val="7C204885"/>
    <w:rsid w:val="7C50646B"/>
    <w:rsid w:val="7E1D6C1F"/>
    <w:rsid w:val="7F2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9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85571-217F-47E2-A584-BA4FCD6F7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14</Pages>
  <Words>437</Words>
  <Characters>2491</Characters>
  <Lines>20</Lines>
  <Paragraphs>5</Paragraphs>
  <TotalTime>166</TotalTime>
  <ScaleCrop>false</ScaleCrop>
  <LinksUpToDate>false</LinksUpToDate>
  <CharactersWithSpaces>2923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杨乾乾</cp:lastModifiedBy>
  <dcterms:modified xsi:type="dcterms:W3CDTF">2020-02-28T05:19:23Z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