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北京红星股份有限公司第一分公司印刷品采购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第一分公司印刷品采购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印刷品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none"/>
          <w:lang w:eastAsia="zh-CN"/>
        </w:rPr>
        <w:t>一分公司</w:t>
      </w: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none"/>
          <w:lang w:val="en-US" w:eastAsia="zh-CN"/>
        </w:rPr>
        <w:t>2020年4月8日至2021年4月7日</w:t>
      </w:r>
    </w:p>
    <w:p>
      <w:pPr>
        <w:ind w:firstLine="560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/>
          <w:b w:val="0"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从中标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承包商</w:t>
      </w:r>
      <w:r>
        <w:rPr>
          <w:rFonts w:asciiTheme="minorEastAsia" w:hAnsiTheme="minorEastAsia" w:eastAsiaTheme="minorEastAsia"/>
          <w:b w:val="0"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为我公司提供服务至服务结束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lang w:val="en-US" w:eastAsia="zh-CN"/>
        </w:rPr>
        <w:t>根据2019年一分印刷品实际采购量，满足北京红星股份有限公司第一分公司比价要求。此次比价从2019年至今期间实际发生采购项目中选取16项作为报价项目。具体见附件报价单。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auto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，全部资料复印件应加盖本企业公章（红章）；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以上资质文件电子版均为纸质版扫描件；未加盖公章视为无效；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将比价文件组成所里附件（1）～（6）项所列资质文件电子版发送至我公司指定邮箱。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七、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专用</w:t>
      </w:r>
      <w:r>
        <w:rPr>
          <w:rFonts w:hint="eastAsia" w:asciiTheme="minorEastAsia" w:hAnsiTheme="minorEastAsia" w:eastAsiaTheme="minorEastAsia"/>
          <w:sz w:val="28"/>
          <w:szCs w:val="24"/>
        </w:rPr>
        <w:t>发票，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税率：13%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），</w:t>
      </w:r>
      <w:r>
        <w:rPr>
          <w:rFonts w:hint="eastAsia" w:asciiTheme="minorEastAsia" w:hAnsiTheme="minorEastAsia" w:eastAsiaTheme="minorEastAsia"/>
          <w:sz w:val="28"/>
          <w:szCs w:val="24"/>
        </w:rPr>
        <w:t>抬头与注册名称一致，不得中途更改，若有更改公司，我司有权终止合同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、公告期：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56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杨乾乾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22-69565471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instrText xml:space="preserve"> HYPERLINK "mailto:yqq@redstarwine.com" </w:instrTex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eastAsiaTheme="minorEastAsia"/>
          <w:sz w:val="28"/>
          <w:szCs w:val="24"/>
          <w:lang w:val="en-US" w:eastAsia="zh-CN"/>
        </w:rPr>
        <w:t>yqq@redstarwine.com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</w:p>
    <w:p>
      <w:pPr>
        <w:pStyle w:val="15"/>
        <w:ind w:left="1820" w:leftChars="200" w:hanging="1400" w:hangingChars="5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天津市宁河区芦台镇芦汉路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40号红星酒厂院内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</w:t>
      </w:r>
    </w:p>
    <w:p>
      <w:pPr>
        <w:wordWrap w:val="0"/>
        <w:jc w:val="right"/>
        <w:rPr>
          <w:rFonts w:ascii="宋体" w:eastAsia="宋体"/>
          <w:sz w:val="28"/>
          <w:szCs w:val="24"/>
        </w:rPr>
      </w:pPr>
      <w:r>
        <w:rPr>
          <w:rFonts w:hint="eastAsia" w:ascii="宋体" w:eastAsia="宋体"/>
          <w:sz w:val="28"/>
          <w:szCs w:val="24"/>
        </w:rPr>
        <w:t>公告发布单位：</w:t>
      </w:r>
      <w:r>
        <w:rPr>
          <w:rFonts w:hint="eastAsia" w:ascii="宋体" w:eastAsia="宋体"/>
          <w:sz w:val="28"/>
          <w:szCs w:val="24"/>
          <w:u w:val="single"/>
        </w:rPr>
        <w:t xml:space="preserve"> </w:t>
      </w:r>
      <w:r>
        <w:rPr>
          <w:rFonts w:ascii="宋体" w:eastAsia="宋体"/>
          <w:sz w:val="28"/>
          <w:szCs w:val="24"/>
          <w:u w:val="single"/>
        </w:rPr>
        <w:t>北京红星股份有限公司第一分公司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</w:p>
    <w:p>
      <w:pPr>
        <w:wordWrap w:val="0"/>
        <w:ind w:firstLine="1680" w:firstLineChars="6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ascii="宋体" w:eastAsia="宋体"/>
          <w:sz w:val="28"/>
          <w:szCs w:val="24"/>
        </w:rPr>
        <w:t>公告发布日期</w:t>
      </w:r>
      <w:r>
        <w:rPr>
          <w:rFonts w:hint="eastAsia" w:ascii="宋体" w:eastAsia="宋体"/>
          <w:sz w:val="28"/>
          <w:szCs w:val="24"/>
        </w:rPr>
        <w:t>：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ascii="宋体" w:eastAsia="宋体"/>
          <w:sz w:val="28"/>
          <w:szCs w:val="24"/>
          <w:u w:val="single"/>
        </w:rPr>
        <w:t>20</w:t>
      </w:r>
      <w:r>
        <w:rPr>
          <w:rFonts w:hint="eastAsia" w:ascii="宋体"/>
          <w:sz w:val="28"/>
          <w:szCs w:val="24"/>
          <w:u w:val="single"/>
          <w:lang w:val="en-US" w:eastAsia="zh-CN"/>
        </w:rPr>
        <w:t>20.2.28</w:t>
      </w:r>
      <w:r>
        <w:rPr>
          <w:rFonts w:hint="eastAsia" w:ascii="宋体" w:eastAsia="宋体"/>
          <w:sz w:val="28"/>
          <w:szCs w:val="24"/>
          <w:u w:val="single"/>
        </w:rPr>
        <w:t xml:space="preserve">  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</w:t>
      </w:r>
    </w:p>
    <w:p>
      <w:pPr>
        <w:pStyle w:val="15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  <w:bookmarkStart w:id="0" w:name="_GoBack"/>
      <w:bookmarkEnd w:id="0"/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eastAsia="zh-CN"/>
        </w:rPr>
        <w:t>第一分公司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21F13AF"/>
    <w:rsid w:val="02613007"/>
    <w:rsid w:val="036D19F5"/>
    <w:rsid w:val="05CC21C5"/>
    <w:rsid w:val="082611B3"/>
    <w:rsid w:val="09A01347"/>
    <w:rsid w:val="10DC2E08"/>
    <w:rsid w:val="11D13845"/>
    <w:rsid w:val="135F43A8"/>
    <w:rsid w:val="13F2600A"/>
    <w:rsid w:val="156D7BC5"/>
    <w:rsid w:val="15AD313D"/>
    <w:rsid w:val="1BD7796B"/>
    <w:rsid w:val="1BF64D3F"/>
    <w:rsid w:val="1C7D1241"/>
    <w:rsid w:val="1C7F652D"/>
    <w:rsid w:val="1DC837EB"/>
    <w:rsid w:val="1E5E5E27"/>
    <w:rsid w:val="1E8D11EB"/>
    <w:rsid w:val="21E54D7F"/>
    <w:rsid w:val="2236384B"/>
    <w:rsid w:val="23041BD9"/>
    <w:rsid w:val="23314678"/>
    <w:rsid w:val="23E41FC2"/>
    <w:rsid w:val="25E91671"/>
    <w:rsid w:val="2A845974"/>
    <w:rsid w:val="2AF65329"/>
    <w:rsid w:val="2E0372FB"/>
    <w:rsid w:val="2E04032F"/>
    <w:rsid w:val="2E770019"/>
    <w:rsid w:val="31E6439B"/>
    <w:rsid w:val="330534D8"/>
    <w:rsid w:val="36A57171"/>
    <w:rsid w:val="37074CE5"/>
    <w:rsid w:val="3814414B"/>
    <w:rsid w:val="3AA17591"/>
    <w:rsid w:val="3B25437B"/>
    <w:rsid w:val="4035581D"/>
    <w:rsid w:val="424E1083"/>
    <w:rsid w:val="43194D01"/>
    <w:rsid w:val="46D1615F"/>
    <w:rsid w:val="49436604"/>
    <w:rsid w:val="49E612F2"/>
    <w:rsid w:val="4A0A0D8E"/>
    <w:rsid w:val="4B7D39E9"/>
    <w:rsid w:val="51464CCF"/>
    <w:rsid w:val="528D2B9D"/>
    <w:rsid w:val="56740A80"/>
    <w:rsid w:val="5694614E"/>
    <w:rsid w:val="5C9A7A64"/>
    <w:rsid w:val="5D9E1B11"/>
    <w:rsid w:val="5DA06FB6"/>
    <w:rsid w:val="60192F5F"/>
    <w:rsid w:val="62FF6F55"/>
    <w:rsid w:val="67912ACB"/>
    <w:rsid w:val="67F4448F"/>
    <w:rsid w:val="69EC45D1"/>
    <w:rsid w:val="6CB3496E"/>
    <w:rsid w:val="6E214E8D"/>
    <w:rsid w:val="70AB5576"/>
    <w:rsid w:val="716B25F9"/>
    <w:rsid w:val="75915B6A"/>
    <w:rsid w:val="7A217BDB"/>
    <w:rsid w:val="7C204885"/>
    <w:rsid w:val="7C50646B"/>
    <w:rsid w:val="7E1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9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出段落2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85571-217F-47E2-A584-BA4FCD6F7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14</Pages>
  <Words>437</Words>
  <Characters>2491</Characters>
  <Lines>20</Lines>
  <Paragraphs>5</Paragraphs>
  <TotalTime>166</TotalTime>
  <ScaleCrop>false</ScaleCrop>
  <LinksUpToDate>false</LinksUpToDate>
  <CharactersWithSpaces>2923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杨乾乾</cp:lastModifiedBy>
  <dcterms:modified xsi:type="dcterms:W3CDTF">2020-02-28T05:05:10Z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